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8E" w:rsidRPr="00CE5F8E" w:rsidRDefault="00CE5F8E" w:rsidP="00CE5F8E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8E" w:rsidRPr="00CE5F8E" w:rsidRDefault="00CE5F8E" w:rsidP="00CE5F8E">
      <w:pPr>
        <w:tabs>
          <w:tab w:val="left" w:pos="1545"/>
        </w:tabs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E5F8E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</w:t>
      </w:r>
    </w:p>
    <w:p w:rsidR="00CE5F8E" w:rsidRPr="00CE5F8E" w:rsidRDefault="00CE5F8E" w:rsidP="00CE5F8E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E5F8E">
        <w:rPr>
          <w:rFonts w:ascii="Times New Roman" w:eastAsia="Times New Roman" w:hAnsi="Times New Roman" w:cs="Times New Roman"/>
          <w:b/>
          <w:lang w:eastAsia="ar-SA"/>
        </w:rPr>
        <w:t xml:space="preserve">Сельское поселение </w:t>
      </w:r>
      <w:proofErr w:type="gramStart"/>
      <w:r w:rsidRPr="00CE5F8E">
        <w:rPr>
          <w:rFonts w:ascii="Times New Roman" w:eastAsia="Times New Roman" w:hAnsi="Times New Roman" w:cs="Times New Roman"/>
          <w:b/>
          <w:lang w:eastAsia="ar-SA"/>
        </w:rPr>
        <w:t>Сентябрьский</w:t>
      </w:r>
      <w:proofErr w:type="gramEnd"/>
    </w:p>
    <w:p w:rsidR="00CE5F8E" w:rsidRPr="00CE5F8E" w:rsidRDefault="00CE5F8E" w:rsidP="00CE5F8E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E5F8E">
        <w:rPr>
          <w:rFonts w:ascii="Times New Roman" w:eastAsia="Times New Roman" w:hAnsi="Times New Roman" w:cs="Times New Roman"/>
          <w:b/>
          <w:lang w:eastAsia="ar-SA"/>
        </w:rPr>
        <w:t>Нефтеюганский район</w:t>
      </w:r>
    </w:p>
    <w:p w:rsidR="00CE5F8E" w:rsidRPr="00CE5F8E" w:rsidRDefault="00CE5F8E" w:rsidP="00CE5F8E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E5F8E">
        <w:rPr>
          <w:rFonts w:ascii="Times New Roman" w:eastAsia="Times New Roman" w:hAnsi="Times New Roman" w:cs="Times New Roman"/>
          <w:b/>
          <w:lang w:eastAsia="ar-SA"/>
        </w:rPr>
        <w:t>Ханты-Мансийский автономный округ – Югра</w:t>
      </w:r>
    </w:p>
    <w:p w:rsidR="00CE5F8E" w:rsidRPr="00CE5F8E" w:rsidRDefault="00CE5F8E" w:rsidP="00CE5F8E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E5F8E" w:rsidRPr="00CE5F8E" w:rsidRDefault="00CE5F8E" w:rsidP="00CE5F8E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E5F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СОВЕТ ДЕПУТАТОВ</w:t>
      </w:r>
    </w:p>
    <w:p w:rsidR="00CE5F8E" w:rsidRPr="00CE5F8E" w:rsidRDefault="00CE5F8E" w:rsidP="00CE5F8E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E5F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CE5F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СЕНТЯБРЬСКИЙ</w:t>
      </w:r>
      <w:proofErr w:type="gramEnd"/>
    </w:p>
    <w:p w:rsidR="00CE5F8E" w:rsidRPr="00CE5F8E" w:rsidRDefault="00CE5F8E" w:rsidP="00CE5F8E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5F8E" w:rsidRPr="00CE5F8E" w:rsidRDefault="00CE5F8E" w:rsidP="00CE5F8E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5F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560"/>
      </w:tblGrid>
      <w:tr w:rsidR="00CE5F8E" w:rsidRPr="00CE5F8E" w:rsidTr="00E070D8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5F8E" w:rsidRPr="00CE5F8E" w:rsidRDefault="00CE5F8E" w:rsidP="00CE5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26.08.2020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CE5F8E" w:rsidRPr="00CE5F8E" w:rsidRDefault="00CE5F8E" w:rsidP="00CE5F8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E5F8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                                                                                                                   </w:t>
            </w:r>
          </w:p>
          <w:p w:rsidR="00CE5F8E" w:rsidRPr="00CE5F8E" w:rsidRDefault="00CE5F8E" w:rsidP="00CE5F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                                                           </w:t>
            </w:r>
            <w:r w:rsidRPr="00CE5F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5F8E" w:rsidRPr="00CE5F8E" w:rsidRDefault="00CE5F8E" w:rsidP="00CE5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>105</w:t>
            </w:r>
          </w:p>
        </w:tc>
      </w:tr>
    </w:tbl>
    <w:p w:rsidR="00CE5F8E" w:rsidRPr="00CE5F8E" w:rsidRDefault="00CE5F8E" w:rsidP="00CE5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>п. Сентябрьский</w:t>
      </w:r>
    </w:p>
    <w:p w:rsidR="00CE5F8E" w:rsidRPr="00CE5F8E" w:rsidRDefault="00CE5F8E" w:rsidP="00CE5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5F8E" w:rsidRPr="00CE5F8E" w:rsidRDefault="00CE5F8E" w:rsidP="00CE5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5F8E" w:rsidRPr="00CE5F8E" w:rsidRDefault="00CE5F8E" w:rsidP="00CE5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в Решение Совета депутатов сельского поселения </w:t>
      </w:r>
      <w:proofErr w:type="gramStart"/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>Сентябрьский</w:t>
      </w:r>
      <w:proofErr w:type="gramEnd"/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23.04.2015 № 105 «Об утверждении местных нормативов градостроительного проектирования сельского поселения Сентябрьский</w:t>
      </w:r>
    </w:p>
    <w:p w:rsidR="00CE5F8E" w:rsidRPr="00CE5F8E" w:rsidRDefault="00CE5F8E" w:rsidP="00CE5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5F8E" w:rsidRPr="00CE5F8E" w:rsidRDefault="00CE5F8E" w:rsidP="00CE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E5F8E" w:rsidRPr="00CE5F8E" w:rsidRDefault="00CE5F8E" w:rsidP="00CE5F8E">
      <w:p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</w:t>
      </w:r>
      <w:r w:rsidRPr="00CE5F8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соответствии со статьями 8, 29.1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Сентябрьский, с целью приведения местных нормативов градостроительного проектирования сельского поселения Сентябрьский в соответствие с действующим законодательством Российской Федерации </w:t>
      </w: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Совет поселения </w:t>
      </w:r>
      <w:proofErr w:type="gramStart"/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 ш и л:</w:t>
      </w:r>
    </w:p>
    <w:p w:rsidR="00CE5F8E" w:rsidRPr="00CE5F8E" w:rsidRDefault="00CE5F8E" w:rsidP="00CE5F8E">
      <w:pPr>
        <w:tabs>
          <w:tab w:val="left" w:pos="70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ar-SA"/>
        </w:rPr>
      </w:pPr>
    </w:p>
    <w:p w:rsidR="00CE5F8E" w:rsidRPr="00CE5F8E" w:rsidRDefault="00CE5F8E" w:rsidP="00CE5F8E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решение Совета депутатов сельского поселения </w:t>
      </w:r>
      <w:proofErr w:type="gramStart"/>
      <w:r w:rsidRPr="00CE5F8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Сентябрьский</w:t>
      </w:r>
      <w:proofErr w:type="gramEnd"/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23.04.2015 № 105 </w:t>
      </w:r>
      <w:r w:rsidRPr="00CE5F8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«Об </w:t>
      </w:r>
      <w:r w:rsidRPr="00CE5F8E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утверждении </w:t>
      </w:r>
      <w:r w:rsidRPr="00CE5F8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местных нормативов градостроительного проектирования </w:t>
      </w:r>
      <w:r w:rsidRPr="00CE5F8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сельского поселения </w:t>
      </w:r>
      <w:r w:rsidRPr="00CE5F8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Сентябрьский</w:t>
      </w:r>
      <w:r w:rsidRPr="00CE5F8E">
        <w:rPr>
          <w:rFonts w:ascii="Times New Roman" w:eastAsia="Calibri" w:hAnsi="Times New Roman" w:cs="Times New Roman"/>
          <w:sz w:val="26"/>
          <w:szCs w:val="26"/>
          <w:lang w:eastAsia="ar-SA"/>
        </w:rPr>
        <w:t>»</w:t>
      </w: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внести следующие изменения: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8E">
        <w:rPr>
          <w:rFonts w:ascii="Times New Roman" w:eastAsia="Times New Roman" w:hAnsi="Times New Roman" w:cs="Times New Roman"/>
          <w:bCs/>
          <w:sz w:val="26"/>
          <w:szCs w:val="26"/>
        </w:rPr>
        <w:t xml:space="preserve">1.1. </w:t>
      </w:r>
      <w:r w:rsidRPr="00CE5F8E">
        <w:rPr>
          <w:rFonts w:ascii="Times New Roman" w:eastAsia="Times New Roman" w:hAnsi="Times New Roman" w:cs="Times New Roman"/>
          <w:sz w:val="26"/>
          <w:szCs w:val="26"/>
        </w:rPr>
        <w:t>Пункт 1.1. Термины и определения части 1 Основная часть после абзаца сорок четыре дополнить абзацами следующего содержания:</w:t>
      </w:r>
    </w:p>
    <w:p w:rsidR="00CE5F8E" w:rsidRPr="00CE5F8E" w:rsidRDefault="00CE5F8E" w:rsidP="00CE5F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«</w:t>
      </w:r>
      <w:proofErr w:type="spellStart"/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велопарковка</w:t>
      </w:r>
      <w:proofErr w:type="spellEnd"/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- м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есто для длительной стоянки (более часа) или хранения велосипедов, оборудованное специальными конструкциями;</w:t>
      </w:r>
    </w:p>
    <w:p w:rsidR="00CE5F8E" w:rsidRPr="00CE5F8E" w:rsidRDefault="00CE5F8E" w:rsidP="00CE5F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велосипед - т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ранспортное средство, кроме инвалидных колясок, которое 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имеет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км/ч;</w:t>
      </w:r>
    </w:p>
    <w:p w:rsidR="00CE5F8E" w:rsidRPr="00CE5F8E" w:rsidRDefault="00CE5F8E" w:rsidP="00CE5F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велопешеходная</w:t>
      </w:r>
      <w:proofErr w:type="spellEnd"/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дорожка - в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елосипедная дорожка, предназначенная для раздельного или совместного с пешеходами движения велосипедистов и обозначенная дорожными знаками;</w:t>
      </w:r>
    </w:p>
    <w:p w:rsidR="00CE5F8E" w:rsidRPr="00CE5F8E" w:rsidRDefault="00CE5F8E" w:rsidP="00CE5F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велосипедист - л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ицо, управляющее велосипедом;</w:t>
      </w:r>
    </w:p>
    <w:p w:rsidR="00CE5F8E" w:rsidRPr="00CE5F8E" w:rsidRDefault="00CE5F8E" w:rsidP="00CE5F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велосипедная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движения;</w:t>
      </w:r>
    </w:p>
    <w:p w:rsidR="00CE5F8E" w:rsidRPr="00CE5F8E" w:rsidRDefault="00CE5F8E" w:rsidP="00CE5F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велосипедная стоянка -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велосипедов;</w:t>
      </w:r>
    </w:p>
    <w:p w:rsidR="00CE5F8E" w:rsidRPr="00CE5F8E" w:rsidRDefault="00CE5F8E" w:rsidP="00CE5F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пешеход -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лицо, находящееся вне транспортного средства на дороге либо на пешеходной или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велопешеходной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дорожке и не производящее на них работу. 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средства;</w:t>
      </w:r>
      <w:proofErr w:type="gramEnd"/>
    </w:p>
    <w:p w:rsidR="00CE5F8E" w:rsidRPr="00CE5F8E" w:rsidRDefault="00CE5F8E" w:rsidP="00CE5F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пешеходная дорожка -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размещаемое за пределами земляного полотна инженерное сооружение, предназначенное для движения пешеходов вне населенных пунктов в полосе отвода или придорожной полосе автомобильной дороги;</w:t>
      </w:r>
    </w:p>
    <w:p w:rsidR="00CE5F8E" w:rsidRPr="00CE5F8E" w:rsidRDefault="00CE5F8E" w:rsidP="00CE5F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полоса для велосипедистов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-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табличкой, расположенными над полосой;»</w:t>
      </w: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CE5F8E" w:rsidRPr="00CE5F8E" w:rsidRDefault="00CE5F8E" w:rsidP="00CE5F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>1.2. Часть 1 Основная часть дополнить пунктом 1.10. следующего содержания:</w:t>
      </w:r>
    </w:p>
    <w:p w:rsidR="00CE5F8E" w:rsidRPr="00CE5F8E" w:rsidRDefault="00CE5F8E" w:rsidP="00CE5F8E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CE5F8E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«</w:t>
      </w:r>
      <w:r w:rsidRPr="00CE5F8E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ar-SA"/>
        </w:rPr>
        <w:t xml:space="preserve">1.10. Требования к планированию велосипедных дорожек и </w:t>
      </w:r>
      <w:proofErr w:type="spellStart"/>
      <w:r w:rsidRPr="00CE5F8E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ar-SA"/>
        </w:rPr>
        <w:t>велопарковок</w:t>
      </w:r>
      <w:proofErr w:type="spellEnd"/>
    </w:p>
    <w:p w:rsidR="00CE5F8E" w:rsidRPr="00CE5F8E" w:rsidRDefault="00CE5F8E" w:rsidP="00CE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5F8E" w:rsidRPr="00CE5F8E" w:rsidRDefault="00CE5F8E" w:rsidP="00CE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Проектирование велосипедных дорожек следует осуществлять в соответствии с характеристиками, приведенными в таблицах</w:t>
      </w:r>
    </w:p>
    <w:p w:rsidR="00CE5F8E" w:rsidRPr="00CE5F8E" w:rsidRDefault="00CE5F8E" w:rsidP="00CE5F8E">
      <w:pPr>
        <w:suppressAutoHyphens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Таблица 7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6808"/>
      </w:tblGrid>
      <w:tr w:rsidR="00CE5F8E" w:rsidRPr="00CE5F8E" w:rsidTr="00E070D8">
        <w:trPr>
          <w:trHeight w:hRule="exact" w:val="12"/>
        </w:trPr>
        <w:tc>
          <w:tcPr>
            <w:tcW w:w="2637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6808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Категория дорог и улиц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Основное назначение дорог и улиц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CE5F8E" w:rsidRPr="00CE5F8E" w:rsidTr="00E070D8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Велосипедные дорожки: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br/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br/>
              <w:t>в составе поперечного профиля улично-дорожной сети;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br/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br/>
              <w:t>на рекреационных территориях, в жилых зонах и т. п.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улицах;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br/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br/>
              <w:t xml:space="preserve">специально выделенная полоса для проезда на велосипедах </w:t>
            </w:r>
          </w:p>
        </w:tc>
      </w:tr>
    </w:tbl>
    <w:p w:rsidR="00CE5F8E" w:rsidRPr="00CE5F8E" w:rsidRDefault="00CE5F8E" w:rsidP="00CE5F8E">
      <w:pPr>
        <w:suppressAutoHyphens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E5F8E" w:rsidRPr="00CE5F8E" w:rsidRDefault="00CE5F8E" w:rsidP="00CE5F8E">
      <w:pPr>
        <w:suppressAutoHyphens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E5F8E" w:rsidRPr="00CE5F8E" w:rsidRDefault="00CE5F8E" w:rsidP="00CE5F8E">
      <w:pPr>
        <w:suppressAutoHyphens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E5F8E" w:rsidRPr="00CE5F8E" w:rsidRDefault="00CE5F8E" w:rsidP="00CE5F8E">
      <w:pPr>
        <w:suppressAutoHyphens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br/>
        <w:t>Таблица 8</w:t>
      </w:r>
    </w:p>
    <w:tbl>
      <w:tblPr>
        <w:tblW w:w="12749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583"/>
        <w:gridCol w:w="978"/>
        <w:gridCol w:w="156"/>
        <w:gridCol w:w="1134"/>
        <w:gridCol w:w="1134"/>
        <w:gridCol w:w="24"/>
        <w:gridCol w:w="1112"/>
        <w:gridCol w:w="22"/>
        <w:gridCol w:w="1112"/>
        <w:gridCol w:w="115"/>
        <w:gridCol w:w="1302"/>
        <w:gridCol w:w="1276"/>
        <w:gridCol w:w="1133"/>
        <w:gridCol w:w="231"/>
        <w:gridCol w:w="1460"/>
      </w:tblGrid>
      <w:tr w:rsidR="00CE5F8E" w:rsidRPr="00CE5F8E" w:rsidTr="00E070D8">
        <w:trPr>
          <w:gridBefore w:val="1"/>
          <w:wBefore w:w="977" w:type="dxa"/>
          <w:trHeight w:hRule="exact" w:val="12"/>
        </w:trPr>
        <w:tc>
          <w:tcPr>
            <w:tcW w:w="1561" w:type="dxa"/>
            <w:gridSpan w:val="2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460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rPr>
          <w:gridAfter w:val="2"/>
          <w:wAfter w:w="1691" w:type="dxa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Категория дорог и улиц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Расчетная скорость движения,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км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/ч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Ширина полосы движения,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Число полос движения (суммарно в двух </w:t>
            </w:r>
            <w:proofErr w:type="spellStart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напра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в</w:t>
            </w:r>
            <w:proofErr w:type="spellEnd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-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лениях</w:t>
            </w:r>
            <w:proofErr w:type="spellEnd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)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Наименьший радиус кривых в плане,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Наибольший продольный уклон,</w:t>
            </w: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br/>
              <w:t>%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Наименьший радиус вертикальной выпуклой кривой,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Наименьший радиус вертикальной вогнутой кривой,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Ширина пешеходной части тротуара,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CE5F8E" w:rsidRPr="00CE5F8E" w:rsidTr="00E070D8">
        <w:trPr>
          <w:gridAfter w:val="2"/>
          <w:wAfter w:w="1691" w:type="dxa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Велосипедные дорожки: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rPr>
          <w:gridAfter w:val="2"/>
          <w:wAfter w:w="1691" w:type="dxa"/>
        </w:trPr>
        <w:tc>
          <w:tcPr>
            <w:tcW w:w="156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в составе поперечного профиля улично-дорожной сети 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1,50* 1,00**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1-2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br/>
              <w:t xml:space="preserve">2 </w:t>
            </w:r>
          </w:p>
        </w:tc>
        <w:tc>
          <w:tcPr>
            <w:tcW w:w="113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25 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70 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rPr>
          <w:gridAfter w:val="2"/>
          <w:wAfter w:w="1691" w:type="dxa"/>
        </w:trPr>
        <w:tc>
          <w:tcPr>
            <w:tcW w:w="15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на рекреационных территориях в жилых зонах и т. п.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20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1,50* 1,00**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1-2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br/>
              <w:t xml:space="preserve">2 </w:t>
            </w:r>
          </w:p>
        </w:tc>
        <w:tc>
          <w:tcPr>
            <w:tcW w:w="11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25 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70 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CE5F8E" w:rsidRPr="00CE5F8E" w:rsidRDefault="00CE5F8E" w:rsidP="00CE5F8E">
      <w:pPr>
        <w:suppressAutoHyphens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_____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  <w:t xml:space="preserve">* При движении в одном направлении. 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  <w:t>** При движении в двух направлениях.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Велодорожки как отдельный вид транспортного проезда необходимо проектировать в виде системы, включающей в себя обособленное прохождение, или по улично-дорожной сети.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Поперечные уклоны элементов поперечного профиля следует принимать: 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  <w:t>для проезжей части - минимальный - 10%, максимальный - 30%;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  <w:t xml:space="preserve">для тротуара - минимальный - 5%, максимальный - 20%; 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  <w:t>для велодорожек - минимальный - 5%, максимальный - 30%.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 xml:space="preserve">и двустороннего движения при наименьшем расстоянии безопасности от края велодорожки, 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</w:r>
    </w:p>
    <w:tbl>
      <w:tblPr>
        <w:tblW w:w="7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3002"/>
      </w:tblGrid>
      <w:tr w:rsidR="00CE5F8E" w:rsidRPr="00CE5F8E" w:rsidTr="00E070D8">
        <w:trPr>
          <w:trHeight w:hRule="exact" w:val="12"/>
        </w:trPr>
        <w:tc>
          <w:tcPr>
            <w:tcW w:w="4479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до проезжей части, опор, деревьев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0,75 </w:t>
            </w:r>
          </w:p>
        </w:tc>
      </w:tr>
      <w:tr w:rsidR="00CE5F8E" w:rsidRPr="00CE5F8E" w:rsidTr="00E070D8"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до тротуаров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CE5F8E" w:rsidRPr="00CE5F8E" w:rsidRDefault="00CE5F8E" w:rsidP="00CE5F8E">
            <w:pPr>
              <w:suppressAutoHyphens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0,5 </w:t>
            </w:r>
          </w:p>
        </w:tc>
      </w:tr>
    </w:tbl>
    <w:p w:rsidR="00CE5F8E" w:rsidRPr="00CE5F8E" w:rsidRDefault="00CE5F8E" w:rsidP="00CE5F8E">
      <w:pPr>
        <w:suppressAutoHyphens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Примечание: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CE5F8E" w:rsidRPr="00CE5F8E" w:rsidRDefault="00CE5F8E" w:rsidP="00CE5F8E">
      <w:pPr>
        <w:suppressAutoHyphens/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CE5F8E" w:rsidRPr="00CE5F8E" w:rsidRDefault="00CE5F8E" w:rsidP="00CE5F8E">
      <w:pPr>
        <w:suppressAutoHyphens/>
        <w:spacing w:beforeAutospacing="1" w:after="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Устройство пешеходных и велосипедных дорожек и полос должно обеспечивать безопасные условия движения пешеходов и велосипедистов.</w:t>
      </w:r>
    </w:p>
    <w:p w:rsidR="00CE5F8E" w:rsidRPr="00CE5F8E" w:rsidRDefault="00CE5F8E" w:rsidP="00CE5F8E">
      <w:pPr>
        <w:suppressAutoHyphens/>
        <w:spacing w:beforeAutospacing="1" w:after="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Обустройство автомобильной дороги пешеходными и велосипедными дорожками и полосами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CE5F8E" w:rsidRPr="00CE5F8E" w:rsidRDefault="00CE5F8E" w:rsidP="00CE5F8E">
      <w:pPr>
        <w:suppressAutoHyphens/>
        <w:spacing w:beforeAutospacing="1" w:after="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Для обеспечения безопасности дорожного движения пешеходные и велосипедные дорожки и полосы должны оборудоваться соответствующими дорожными знаками, разметкой, ограждениями и светофорами.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</w:p>
    <w:p w:rsidR="00CE5F8E" w:rsidRPr="00CE5F8E" w:rsidRDefault="00CE5F8E" w:rsidP="00CE5F8E">
      <w:pPr>
        <w:suppressAutoHyphens/>
        <w:spacing w:after="28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5F8E" w:rsidRPr="00CE5F8E" w:rsidRDefault="00CE5F8E" w:rsidP="00CE5F8E">
      <w:pPr>
        <w:suppressAutoHyphens/>
        <w:spacing w:after="28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Проектирование велосипедных дорожек и полос.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двухполосные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при возможности по обеим сторонам дороги.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Соответственно, по аналогии с термином «полоса движения», термин «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велополоса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движения» (для краткости,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велополоса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приобретает определенное значение.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Велополоса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означает любую из продольных полос, на которые может быть разделена проезжая часть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велодороги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обозначенных или не обозначенных посредством продольной разметки, но имеющих ширину, достаточную для движения в один ряд велосипедов. 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Важно, что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велополоса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обязательно является, хотя и может быть частью велодорожки.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Ширина полосы измеряется от бордюра до середины разделительной линии.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дорогах со скоростью 60 км/час и выше ширина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велополосы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должна превышать 1.5 м.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особых ситуациях допустима ширина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велополосы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менее 1.5 м. 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автомобильная полоса меньше 3 м,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велополосу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делать нежелательно.</w:t>
      </w:r>
    </w:p>
    <w:p w:rsidR="00CE5F8E" w:rsidRPr="00CE5F8E" w:rsidRDefault="00CE5F8E" w:rsidP="00CE5F8E">
      <w:pPr>
        <w:suppressAutoHyphens/>
        <w:spacing w:before="280" w:beforeAutospacing="1" w:after="28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Обособленные и смешанные </w:t>
      </w:r>
      <w:proofErr w:type="spellStart"/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велополосы</w:t>
      </w:r>
      <w:proofErr w:type="spellEnd"/>
      <w:r w:rsidRPr="00CE5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проезжей части.</w:t>
      </w:r>
      <w:proofErr w:type="gramEnd"/>
    </w:p>
    <w:p w:rsidR="00CE5F8E" w:rsidRPr="00CE5F8E" w:rsidRDefault="00CE5F8E" w:rsidP="00CE5F8E">
      <w:pPr>
        <w:suppressAutoHyphens/>
        <w:spacing w:before="28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проезжей части могут быть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велополосы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двух видов: Обособленные и смешанные.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Обособленные (обязательные)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велополосы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отделяют часть проезжей дороги, предназначенную для велосипедистов.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неё запрещено вторгаться другим транспортным средствам.</w:t>
      </w:r>
    </w:p>
    <w:p w:rsidR="00CE5F8E" w:rsidRPr="00CE5F8E" w:rsidRDefault="00CE5F8E" w:rsidP="00CE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Смешанные (рекомендуемые)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велополосы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предназначены предупреждать водителей о возможном присутствии велосипедистов и подсказывать водителям, что им надо придерживаться на достаточном расстоянии от края дороги или бордюра. Однако, движение автомобилей по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велополосе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возможно.</w:t>
      </w:r>
    </w:p>
    <w:p w:rsidR="00CE5F8E" w:rsidRPr="00CE5F8E" w:rsidRDefault="00CE5F8E" w:rsidP="00CE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Преимущество использования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 проезжей части состоит в том, что они:</w:t>
      </w:r>
    </w:p>
    <w:p w:rsidR="00CE5F8E" w:rsidRPr="00CE5F8E" w:rsidRDefault="00CE5F8E" w:rsidP="00CE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напоминают водителям о присутствии велосипедистов на дороге,</w:t>
      </w:r>
    </w:p>
    <w:p w:rsidR="00CE5F8E" w:rsidRPr="00CE5F8E" w:rsidRDefault="00CE5F8E" w:rsidP="00CE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заставляют водителей оставлять место для велосипедистов на обочине,</w:t>
      </w:r>
    </w:p>
    <w:p w:rsidR="00CE5F8E" w:rsidRPr="00CE5F8E" w:rsidRDefault="00CE5F8E" w:rsidP="00CE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делают законным обгон автотранспорта в случае его замедления или остановки в пробке,</w:t>
      </w: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приучают велосипедистов двигаться по 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отведенной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велодороге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CE5F8E" w:rsidRPr="00CE5F8E" w:rsidRDefault="00CE5F8E" w:rsidP="00CE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помогают велосипедисту убедиться, что он следует по маршруту.</w:t>
      </w:r>
    </w:p>
    <w:p w:rsidR="00CE5F8E" w:rsidRPr="00CE5F8E" w:rsidRDefault="00CE5F8E" w:rsidP="00CE5F8E">
      <w:pPr>
        <w:suppressAutoHyphens/>
        <w:spacing w:before="280" w:beforeAutospacing="1" w:after="2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Для удобного проезда велосипедов,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велоприцепов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инвалидных колясок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велополоса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должна иметь ширину 1.5 м, а если дорога позволяет, то и 2 м. Это делает возможным обгон без выезда на полосу движения автотранспорта.</w:t>
      </w:r>
    </w:p>
    <w:p w:rsidR="00CE5F8E" w:rsidRPr="00CE5F8E" w:rsidRDefault="00CE5F8E" w:rsidP="00CE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стесненной ситуации допустима ширина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велополосы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0.8 м, однако в местах соединений рекомендуется делать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велополосу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менее 1.2 м, а при подходе к перекрестку – не менее 1.0 м.</w:t>
      </w:r>
    </w:p>
    <w:p w:rsidR="00CE5F8E" w:rsidRPr="00CE5F8E" w:rsidRDefault="00CE5F8E" w:rsidP="00CE5F8E">
      <w:pPr>
        <w:suppressAutoHyphens/>
        <w:spacing w:before="28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Велосипедные и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велопешеходные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дорожки и полосы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3.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(до 150 авт./ч).</w:t>
      </w:r>
    </w:p>
    <w:p w:rsidR="00CE5F8E" w:rsidRPr="00CE5F8E" w:rsidRDefault="00CE5F8E" w:rsidP="00CE5F8E">
      <w:pPr>
        <w:spacing w:before="280" w:beforeAutospacing="1" w:after="28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9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1104"/>
        <w:gridCol w:w="984"/>
        <w:gridCol w:w="866"/>
        <w:gridCol w:w="1026"/>
        <w:gridCol w:w="936"/>
      </w:tblGrid>
      <w:tr w:rsidR="00CE5F8E" w:rsidRPr="00CE5F8E" w:rsidTr="00E070D8">
        <w:trPr>
          <w:trHeight w:hRule="exact" w:val="12"/>
        </w:trPr>
        <w:tc>
          <w:tcPr>
            <w:tcW w:w="4528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04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84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66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36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400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600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800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1200 </w:t>
            </w:r>
          </w:p>
        </w:tc>
      </w:tr>
      <w:tr w:rsidR="00CE5F8E" w:rsidRPr="00CE5F8E" w:rsidTr="00E070D8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 </w:t>
            </w:r>
          </w:p>
        </w:tc>
      </w:tr>
    </w:tbl>
    <w:p w:rsidR="00CE5F8E" w:rsidRPr="00CE5F8E" w:rsidRDefault="00CE5F8E" w:rsidP="00CE5F8E">
      <w:pPr>
        <w:spacing w:before="280" w:beforeAutospacing="1" w:after="28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Геометрические параметры велосипедных дорожек представлены в таблице 10.</w:t>
      </w:r>
    </w:p>
    <w:p w:rsidR="00CE5F8E" w:rsidRPr="00CE5F8E" w:rsidRDefault="00CE5F8E" w:rsidP="00CE5F8E">
      <w:pPr>
        <w:spacing w:before="280" w:beforeAutospacing="1" w:after="2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Таблица 10 - Основные геометрические параметры велосипедной дорожки и полосы 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2474"/>
        <w:gridCol w:w="2165"/>
      </w:tblGrid>
      <w:tr w:rsidR="00CE5F8E" w:rsidRPr="00CE5F8E" w:rsidTr="00E070D8">
        <w:trPr>
          <w:trHeight w:hRule="exact" w:val="12"/>
        </w:trPr>
        <w:tc>
          <w:tcPr>
            <w:tcW w:w="4806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74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65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Нормируемый параметр </w:t>
            </w:r>
          </w:p>
        </w:tc>
        <w:tc>
          <w:tcPr>
            <w:tcW w:w="4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Минимальные значения</w:t>
            </w: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новом строительстве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стесненных условиях </w:t>
            </w: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Расчетная скорость движения,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/ч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 </w:t>
            </w: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Ширина проезжей части для движения,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не менее: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однополосного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1,0-1,5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0,75-1,0 </w:t>
            </w: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двухполосного</w:t>
            </w:r>
            <w:proofErr w:type="spell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1,75-2,5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1,50 </w:t>
            </w: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двухполосного</w:t>
            </w:r>
            <w:proofErr w:type="spell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 встречным движением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2,50-3,6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2,00 </w:t>
            </w: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1,5-6,0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0175" cy="219075"/>
                      <wp:effectExtent l="0" t="0" r="3175" b="9525"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style="width:1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1,5-3,25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Ширина </w:t>
            </w:r>
            <w:proofErr w:type="spell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велопешеходной</w:t>
            </w:r>
            <w:proofErr w:type="spell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дорожки,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1,5-3,0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219075"/>
                      <wp:effectExtent l="0" t="0" r="0" b="9525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1,5-2,0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Ширина полосы для велосипедистов,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1,20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0,90 </w:t>
            </w: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0,5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0,5 </w:t>
            </w: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Наименьший радиус кривых в плане,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отсутствии виража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30-50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 </w:t>
            </w: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устройстве виража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выпуклых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500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400 </w:t>
            </w: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вогнутых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Наибольший продольный уклон,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равнинной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40-60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50-70 </w:t>
            </w: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горной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Поперечный уклон проезжей части,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15-20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 </w:t>
            </w: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Уклон виража, ‰, при радиусе: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более 30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10-20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более 20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 </w:t>
            </w: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20-50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более 15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 </w:t>
            </w:r>
          </w:p>
        </w:tc>
      </w:tr>
      <w:tr w:rsidR="00CE5F8E" w:rsidRPr="00CE5F8E" w:rsidTr="00E070D8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50-100 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15-20 </w:t>
            </w: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Габарит по высоте,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2,50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2,25 </w:t>
            </w:r>
          </w:p>
        </w:tc>
      </w:tr>
      <w:tr w:rsidR="00CE5F8E" w:rsidRPr="00CE5F8E" w:rsidTr="00E070D8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0,50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0,50 </w:t>
            </w:r>
          </w:p>
        </w:tc>
      </w:tr>
      <w:tr w:rsidR="00CE5F8E" w:rsidRPr="00CE5F8E" w:rsidTr="00E070D8">
        <w:tc>
          <w:tcPr>
            <w:tcW w:w="9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0175" cy="219075"/>
                      <wp:effectExtent l="0" t="0" r="3175" b="9525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1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Ширина пешеходной дорожки 1,5 м, велосипедной - 2,5 м.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Ширина пешеходной дорожки 1,5 м, велосипедной - 1,75 м.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219075"/>
                      <wp:effectExtent l="0" t="0" r="0" b="9525"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интенсивности движения не более 30 вел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15 пеш./ч.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интенсивности движения не более 30 вел./ч и 50 пеш./ч.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</w:tbl>
    <w:p w:rsidR="00CE5F8E" w:rsidRPr="00CE5F8E" w:rsidRDefault="00CE5F8E" w:rsidP="00CE5F8E">
      <w:pPr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5F8E" w:rsidRPr="00CE5F8E" w:rsidRDefault="00CE5F8E" w:rsidP="00CE5F8E">
      <w:pPr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E5F8E" w:rsidRPr="00CE5F8E" w:rsidRDefault="00CE5F8E" w:rsidP="00CE5F8E">
      <w:pPr>
        <w:spacing w:after="28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11.</w:t>
      </w:r>
    </w:p>
    <w:p w:rsidR="00CE5F8E" w:rsidRPr="00CE5F8E" w:rsidRDefault="00CE5F8E" w:rsidP="00CE5F8E">
      <w:pPr>
        <w:spacing w:before="280" w:beforeAutospacing="1" w:after="28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11</w:t>
      </w: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972"/>
        <w:gridCol w:w="1116"/>
        <w:gridCol w:w="1112"/>
        <w:gridCol w:w="1001"/>
        <w:gridCol w:w="1065"/>
        <w:gridCol w:w="987"/>
      </w:tblGrid>
      <w:tr w:rsidR="00CE5F8E" w:rsidRPr="00CE5F8E" w:rsidTr="00E070D8">
        <w:trPr>
          <w:trHeight w:hRule="exact" w:val="12"/>
        </w:trPr>
        <w:tc>
          <w:tcPr>
            <w:tcW w:w="3192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72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16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12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001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065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87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Численность населения, </w:t>
            </w:r>
            <w:proofErr w:type="spell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</w:t>
            </w:r>
            <w:proofErr w:type="spell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Св. 500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500-250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250-100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100-50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50-25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25-10 </w:t>
            </w:r>
          </w:p>
        </w:tc>
      </w:tr>
      <w:tr w:rsidR="00CE5F8E" w:rsidRPr="00CE5F8E" w:rsidTr="00E070D8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Длина велосипедной дорожки,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км</w:t>
            </w:r>
            <w:proofErr w:type="gram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15-10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10-8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8-6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6-3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3-1 </w:t>
            </w:r>
          </w:p>
        </w:tc>
      </w:tr>
    </w:tbl>
    <w:p w:rsidR="00CE5F8E" w:rsidRPr="00CE5F8E" w:rsidRDefault="00CE5F8E" w:rsidP="00CE5F8E">
      <w:pPr>
        <w:suppressAutoHyphens/>
        <w:spacing w:before="28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CE5F8E" w:rsidRPr="00CE5F8E" w:rsidRDefault="00CE5F8E" w:rsidP="00CE5F8E">
      <w:pPr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CE5F8E" w:rsidRPr="00CE5F8E" w:rsidRDefault="00CE5F8E" w:rsidP="00CE5F8E">
      <w:pPr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допускается.</w:t>
      </w:r>
    </w:p>
    <w:p w:rsidR="00CE5F8E" w:rsidRPr="00CE5F8E" w:rsidRDefault="00CE5F8E" w:rsidP="00CE5F8E">
      <w:pPr>
        <w:spacing w:before="280" w:beforeAutospacing="1" w:after="28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Таблица 12 </w:t>
      </w:r>
    </w:p>
    <w:tbl>
      <w:tblPr>
        <w:tblW w:w="9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1954"/>
        <w:gridCol w:w="1951"/>
        <w:gridCol w:w="1954"/>
        <w:gridCol w:w="1584"/>
      </w:tblGrid>
      <w:tr w:rsidR="00CE5F8E" w:rsidRPr="00CE5F8E" w:rsidTr="00E070D8">
        <w:trPr>
          <w:trHeight w:hRule="exact" w:val="12"/>
        </w:trPr>
        <w:tc>
          <w:tcPr>
            <w:tcW w:w="2001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54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51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54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584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Ширина проезжей части,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CE5F8E" w:rsidRPr="00CE5F8E" w:rsidTr="00E070D8">
        <w:tc>
          <w:tcPr>
            <w:tcW w:w="2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80 </w:t>
            </w:r>
          </w:p>
        </w:tc>
      </w:tr>
      <w:tr w:rsidR="00CE5F8E" w:rsidRPr="00CE5F8E" w:rsidTr="00E070D8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130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200 </w:t>
            </w:r>
          </w:p>
        </w:tc>
      </w:tr>
      <w:tr w:rsidR="00CE5F8E" w:rsidRPr="00CE5F8E" w:rsidTr="00E070D8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10,5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170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230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270 </w:t>
            </w:r>
          </w:p>
        </w:tc>
      </w:tr>
      <w:tr w:rsidR="00CE5F8E" w:rsidRPr="00CE5F8E" w:rsidTr="00E070D8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210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250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290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330 </w:t>
            </w:r>
          </w:p>
        </w:tc>
      </w:tr>
    </w:tbl>
    <w:p w:rsidR="00CE5F8E" w:rsidRPr="00CE5F8E" w:rsidRDefault="00CE5F8E" w:rsidP="00CE5F8E">
      <w:pPr>
        <w:suppressAutoHyphens/>
        <w:spacing w:before="280" w:beforeAutospacing="1" w:after="28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CE5F8E" w:rsidRPr="00CE5F8E" w:rsidRDefault="00CE5F8E" w:rsidP="00CE5F8E">
      <w:pPr>
        <w:suppressAutoHyphens/>
        <w:spacing w:before="280" w:beforeAutospacing="1" w:after="28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CE5F8E" w:rsidRPr="00CE5F8E" w:rsidRDefault="00CE5F8E" w:rsidP="00CE5F8E">
      <w:pPr>
        <w:suppressAutoHyphens/>
        <w:spacing w:after="2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CE5F8E" w:rsidRPr="00CE5F8E" w:rsidRDefault="00CE5F8E" w:rsidP="00CE5F8E">
      <w:pPr>
        <w:suppressAutoHyphens/>
        <w:spacing w:after="28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цементобетона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велопешеходных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 </w:t>
      </w:r>
      <w:hyperlink r:id="rId7">
        <w:r w:rsidRPr="00CE5F8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ГОСТ 32753</w:t>
        </w:r>
      </w:hyperlink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CE5F8E" w:rsidRPr="00CE5F8E" w:rsidRDefault="00CE5F8E" w:rsidP="00CE5F8E">
      <w:pPr>
        <w:suppressAutoHyphens/>
        <w:spacing w:after="28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обустройстве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дождеприемных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CE5F8E" w:rsidRPr="00CE5F8E" w:rsidRDefault="00CE5F8E" w:rsidP="00CE5F8E">
      <w:pPr>
        <w:suppressAutoHyphens/>
        <w:spacing w:before="280" w:beforeAutospacing="1" w:after="2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Велопарковки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E5F8E" w:rsidRPr="00CE5F8E" w:rsidRDefault="00CE5F8E" w:rsidP="00CE5F8E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1)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Велопарковки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необходимо предусматривать на территории микрорайонов, в парках, лесопарках, в пригородной и зеленой зоне, а также на жилых и магистральных улицах регулируемого движения при интенсивности движения более 50 велосипедов в 1 час.</w:t>
      </w:r>
    </w:p>
    <w:p w:rsidR="00CE5F8E" w:rsidRPr="00CE5F8E" w:rsidRDefault="00CE5F8E" w:rsidP="00CE5F8E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2) В местах массового скопления людей (у стадионов, парков, выставок и т.д.) следует предусматривать площадки для хранения велосипедов из расчета на 1 место для велосипеда 0,9 м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CE5F8E" w:rsidRPr="00CE5F8E" w:rsidRDefault="00CE5F8E" w:rsidP="00CE5F8E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3) Допустимое расчетное количество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велопарковочных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мест 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для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определяется по нормам, указанным в </w:t>
      </w:r>
      <w:hyperlink w:anchor="Par281" w:tgtFrame="Таблица 3">
        <w:r w:rsidRPr="00CE5F8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ar-SA"/>
          </w:rPr>
          <w:t xml:space="preserve">таблице </w:t>
        </w:r>
      </w:hyperlink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CE5F8E" w:rsidRPr="00CE5F8E" w:rsidRDefault="00CE5F8E" w:rsidP="00CE5F8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E5F8E" w:rsidRPr="00CE5F8E" w:rsidRDefault="00CE5F8E" w:rsidP="00CE5F8E">
      <w:pPr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Таблица 13</w:t>
      </w:r>
    </w:p>
    <w:p w:rsidR="00CE5F8E" w:rsidRPr="00CE5F8E" w:rsidRDefault="00CE5F8E" w:rsidP="00CE5F8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906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3658"/>
        <w:gridCol w:w="2846"/>
        <w:gridCol w:w="1686"/>
      </w:tblGrid>
      <w:tr w:rsidR="00CE5F8E" w:rsidRPr="00CE5F8E" w:rsidTr="00E070D8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N строки</w:t>
            </w:r>
          </w:p>
        </w:tc>
        <w:tc>
          <w:tcPr>
            <w:tcW w:w="8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Нормы парковочных мест для </w:t>
            </w:r>
            <w:proofErr w:type="spell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велопарковок</w:t>
            </w:r>
            <w:proofErr w:type="spellEnd"/>
          </w:p>
        </w:tc>
      </w:tr>
      <w:tr w:rsidR="00CE5F8E" w:rsidRPr="00CE5F8E" w:rsidTr="00E070D8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Здания, сооружения и иные объекты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Расчетная единица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Минимальное число мест на расчетную единицу</w:t>
            </w:r>
          </w:p>
        </w:tc>
      </w:tr>
      <w:tr w:rsidR="00CE5F8E" w:rsidRPr="00CE5F8E" w:rsidTr="00E070D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Общеобразовательные,</w:t>
            </w:r>
          </w:p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профессиональные образовательные организации,</w:t>
            </w:r>
          </w:p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организации дополнительного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 учащийся (студент)/преподаватель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0,2/0,1</w:t>
            </w:r>
          </w:p>
        </w:tc>
      </w:tr>
      <w:tr w:rsidR="00CE5F8E" w:rsidRPr="00CE5F8E" w:rsidTr="00E070D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Медицинские организации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 работник/посетитель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0,1/0,2</w:t>
            </w:r>
          </w:p>
        </w:tc>
      </w:tr>
      <w:tr w:rsidR="00CE5F8E" w:rsidRPr="00CE5F8E" w:rsidTr="00E070D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Торговые предприятия (торговые центры, торговые и развлекательные комплексы).</w:t>
            </w:r>
          </w:p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Предприятия общественного питания, бытового обслуживания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2000 м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0,8</w:t>
            </w:r>
          </w:p>
        </w:tc>
      </w:tr>
      <w:tr w:rsidR="00CE5F8E" w:rsidRPr="00CE5F8E" w:rsidTr="00E070D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Магазины розничной торговли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100 м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CE5F8E" w:rsidRPr="00CE5F8E" w:rsidTr="00E070D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Административные здания, офисы и производство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 служащий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0,4</w:t>
            </w:r>
          </w:p>
        </w:tc>
      </w:tr>
      <w:tr w:rsidR="00CE5F8E" w:rsidRPr="00CE5F8E" w:rsidTr="00E070D8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Спортивные комплексы и залы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 спортсмен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0,6</w:t>
            </w:r>
          </w:p>
        </w:tc>
      </w:tr>
      <w:tr w:rsidR="00CE5F8E" w:rsidRPr="00CE5F8E" w:rsidTr="00E070D8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 зритель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0,4</w:t>
            </w:r>
          </w:p>
        </w:tc>
      </w:tr>
      <w:tr w:rsidR="00CE5F8E" w:rsidRPr="00CE5F8E" w:rsidTr="00E070D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Зоны отдыха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10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CE5F8E" w:rsidRPr="00CE5F8E" w:rsidTr="00E070D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Клубы, дома культуры, кинотеатры, массовые библиотеки, цирки, концертные залы, выставки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на 100 мест, работников и единовременных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8E" w:rsidRPr="00CE5F8E" w:rsidRDefault="00CE5F8E" w:rsidP="00CE5F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0,2</w:t>
            </w:r>
          </w:p>
        </w:tc>
      </w:tr>
    </w:tbl>
    <w:p w:rsidR="00CE5F8E" w:rsidRPr="00CE5F8E" w:rsidRDefault="00CE5F8E" w:rsidP="00CE5F8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E5F8E" w:rsidRPr="00CE5F8E" w:rsidRDefault="00CE5F8E" w:rsidP="00CE5F8E">
      <w:pPr>
        <w:suppressAutoHyphens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Открытые велосипедные </w:t>
      </w: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:rsidR="00CE5F8E" w:rsidRPr="00CE5F8E" w:rsidRDefault="00CE5F8E" w:rsidP="00CE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5F8E" w:rsidRPr="00CE5F8E" w:rsidRDefault="00CE5F8E" w:rsidP="00CE5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Велопарковки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следует устраивать для длительного хранения велосипедов в зоне объектов дорожного сервиса (гостиницы, мотели и др.).</w:t>
      </w:r>
    </w:p>
    <w:p w:rsidR="00CE5F8E" w:rsidRPr="00CE5F8E" w:rsidRDefault="00CE5F8E" w:rsidP="00CE5F8E">
      <w:pPr>
        <w:suppressAutoHyphens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 степени закрытости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велопарковки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как правило, разделяются 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открытые, открытые с навесом, закрытые.</w:t>
      </w:r>
    </w:p>
    <w:p w:rsidR="00CE5F8E" w:rsidRPr="00CE5F8E" w:rsidRDefault="00CE5F8E" w:rsidP="00CE5F8E">
      <w:pPr>
        <w:suppressAutoHyphens/>
        <w:spacing w:before="280" w:beforeAutospacing="1" w:after="2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Чтобы обеспечить удобство пользования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велопарковками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исключить помехи для пешеходов, следует соблюдать необходимые расстояния между стойками и другими объектами (рисунок 2).</w:t>
      </w:r>
    </w:p>
    <w:tbl>
      <w:tblPr>
        <w:tblW w:w="94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CE5F8E" w:rsidRPr="00CE5F8E" w:rsidTr="00E070D8">
        <w:trPr>
          <w:trHeight w:hRule="exact" w:val="12"/>
          <w:jc w:val="center"/>
        </w:trPr>
        <w:tc>
          <w:tcPr>
            <w:tcW w:w="9445" w:type="dxa"/>
            <w:vAlign w:val="center"/>
          </w:tcPr>
          <w:p w:rsidR="00CE5F8E" w:rsidRPr="00CE5F8E" w:rsidRDefault="00CE5F8E" w:rsidP="00CE5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E5F8E" w:rsidRPr="00CE5F8E" w:rsidTr="00E070D8">
        <w:trPr>
          <w:jc w:val="center"/>
        </w:trPr>
        <w:tc>
          <w:tcPr>
            <w:tcW w:w="9445" w:type="dxa"/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6191250" cy="2219325"/>
                  <wp:effectExtent l="0" t="0" r="0" b="9525"/>
                  <wp:docPr id="1" name="Рисунок 1" descr="ГОСТ 33150-2014 Дороги автомобильные общего пользования. Проектирование пешеходных и велосипедных дорожек. Общие требования (Переиздани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F8E" w:rsidRPr="00CE5F8E" w:rsidTr="00E070D8">
        <w:trPr>
          <w:jc w:val="center"/>
        </w:trPr>
        <w:tc>
          <w:tcPr>
            <w:tcW w:w="9445" w:type="dxa"/>
            <w:tcMar>
              <w:left w:w="149" w:type="dxa"/>
              <w:right w:w="149" w:type="dxa"/>
            </w:tcMar>
          </w:tcPr>
          <w:p w:rsidR="00CE5F8E" w:rsidRPr="00CE5F8E" w:rsidRDefault="00CE5F8E" w:rsidP="00CE5F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CE5F8E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Рисунок 2. </w:t>
            </w:r>
          </w:p>
          <w:p w:rsidR="00CE5F8E" w:rsidRPr="00CE5F8E" w:rsidRDefault="00CE5F8E" w:rsidP="00CE5F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CE5F8E" w:rsidRPr="00CE5F8E" w:rsidRDefault="00CE5F8E" w:rsidP="00CE5F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5F8E" w:rsidRPr="00CE5F8E" w:rsidRDefault="00CE5F8E" w:rsidP="00CE5F8E">
      <w:pPr>
        <w:keepNext/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</w:pPr>
      <w:r w:rsidRPr="00CE5F8E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2. Настоящее решение подлежит официальному опубликованию (обнародованию) в информационном бюллетене «</w:t>
      </w:r>
      <w:r w:rsidRPr="00CE5F8E"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>Сентябрьский</w:t>
      </w:r>
      <w:r w:rsidRPr="00CE5F8E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вестник».</w:t>
      </w:r>
    </w:p>
    <w:p w:rsidR="00CE5F8E" w:rsidRPr="00CE5F8E" w:rsidRDefault="00CE5F8E" w:rsidP="00CE5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5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</w:t>
      </w:r>
      <w:r w:rsidRPr="00CE5F8E">
        <w:rPr>
          <w:rFonts w:ascii="Times New Roman" w:eastAsia="Calibri" w:hAnsi="Times New Roman" w:cs="Times New Roman"/>
          <w:sz w:val="26"/>
          <w:szCs w:val="26"/>
        </w:rPr>
        <w:t xml:space="preserve">Решение вступает в силу </w:t>
      </w:r>
      <w:r w:rsidRPr="00CE5F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официального опубликования (обнародования).</w:t>
      </w:r>
    </w:p>
    <w:p w:rsidR="00CE5F8E" w:rsidRPr="00CE5F8E" w:rsidRDefault="00CE5F8E" w:rsidP="00CE5F8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5F8E" w:rsidRPr="00CE5F8E" w:rsidRDefault="00CE5F8E" w:rsidP="00CE5F8E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E5F8E" w:rsidRPr="00CE5F8E" w:rsidRDefault="00CE5F8E" w:rsidP="00CE5F8E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E5F8E" w:rsidRPr="00CE5F8E" w:rsidRDefault="00CE5F8E" w:rsidP="00CE5F8E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E5F8E" w:rsidRPr="00CE5F8E" w:rsidRDefault="00CE5F8E" w:rsidP="00CE5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поселения                                    </w:t>
      </w: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E5F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А.В. Светлаков         </w:t>
      </w:r>
    </w:p>
    <w:p w:rsidR="00CE4A68" w:rsidRDefault="00CE4A68">
      <w:bookmarkStart w:id="0" w:name="_GoBack"/>
      <w:bookmarkEnd w:id="0"/>
    </w:p>
    <w:sectPr w:rsidR="00CE4A68" w:rsidSect="00AD53A1">
      <w:footerReference w:type="default" r:id="rId9"/>
      <w:pgSz w:w="11906" w:h="16838"/>
      <w:pgMar w:top="1134" w:right="709" w:bottom="29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03E" w:rsidRDefault="00CE5F8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4D"/>
    <w:rsid w:val="002C714D"/>
    <w:rsid w:val="00CE4A68"/>
    <w:rsid w:val="00C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5F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customStyle="1" w:styleId="a4">
    <w:name w:val="Нижний колонтитул Знак"/>
    <w:basedOn w:val="a0"/>
    <w:link w:val="a3"/>
    <w:rsid w:val="00CE5F8E"/>
    <w:rPr>
      <w:rFonts w:ascii="Arial" w:eastAsia="Times New Roman" w:hAnsi="Arial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E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5F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customStyle="1" w:styleId="a4">
    <w:name w:val="Нижний колонтитул Знак"/>
    <w:basedOn w:val="a0"/>
    <w:link w:val="a3"/>
    <w:rsid w:val="00CE5F8E"/>
    <w:rPr>
      <w:rFonts w:ascii="Arial" w:eastAsia="Times New Roman" w:hAnsi="Arial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E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12001134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2639</Words>
  <Characters>15046</Characters>
  <Application>Microsoft Office Word</Application>
  <DocSecurity>0</DocSecurity>
  <Lines>125</Lines>
  <Paragraphs>35</Paragraphs>
  <ScaleCrop>false</ScaleCrop>
  <Company/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Ribak</dc:creator>
  <cp:keywords/>
  <dc:description/>
  <cp:lastModifiedBy>Ribak</cp:lastModifiedBy>
  <cp:revision>2</cp:revision>
  <dcterms:created xsi:type="dcterms:W3CDTF">2020-08-31T11:10:00Z</dcterms:created>
  <dcterms:modified xsi:type="dcterms:W3CDTF">2020-08-31T11:10:00Z</dcterms:modified>
</cp:coreProperties>
</file>